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7777777" w:rsidR="005F1FF5" w:rsidRPr="005F1FF5" w:rsidRDefault="005F1FF5" w:rsidP="005F1FF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5F1FF5">
        <w:rPr>
          <w:rFonts w:ascii="Century" w:hAnsi="Century"/>
          <w:b/>
          <w:sz w:val="28"/>
          <w:szCs w:val="28"/>
          <w:lang w:val="uk-UA"/>
        </w:rPr>
        <w:t>39 СЕСІЯ ВОСЬМОГО СКЛИКАННЯ</w:t>
      </w:r>
    </w:p>
    <w:p w14:paraId="3B3DEC16" w14:textId="50BCD63B" w:rsidR="005F1FF5" w:rsidRPr="005F1FF5" w:rsidRDefault="005F1FF5" w:rsidP="005F1FF5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24245">
        <w:rPr>
          <w:rFonts w:ascii="Century" w:hAnsi="Century"/>
          <w:b/>
          <w:sz w:val="32"/>
          <w:szCs w:val="36"/>
        </w:rPr>
        <w:t>23/39-656</w:t>
      </w:r>
      <w:r w:rsidR="00524245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5196DBFC" w14:textId="4841A7E2" w:rsidR="005F1FF5" w:rsidRPr="005F1FF5" w:rsidRDefault="005F1FF5" w:rsidP="005F1FF5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>16 листопада 2023 року</w:t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</w:r>
      <w:r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4D273A1B" w:rsidR="00B3382A" w:rsidRPr="005F1FF5" w:rsidRDefault="005F1FF5" w:rsidP="005F1FF5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>Про надання дозволу НЕК «Укренерго» на розроблення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14:paraId="0213AF88" w14:textId="77777777" w:rsidR="005F1FF5" w:rsidRPr="005F1FF5" w:rsidRDefault="005F1FF5" w:rsidP="005F1FF5">
      <w:pPr>
        <w:rPr>
          <w:rFonts w:ascii="Century" w:hAnsi="Century"/>
          <w:b/>
          <w:sz w:val="25"/>
          <w:szCs w:val="25"/>
          <w:lang w:val="uk-UA"/>
        </w:rPr>
      </w:pPr>
    </w:p>
    <w:p w14:paraId="366FBAEE" w14:textId="54F08D2B" w:rsidR="00B3382A" w:rsidRPr="0054486B" w:rsidRDefault="005F1FF5" w:rsidP="00B3382A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ЄДРПОУ: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6619A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89AAAF0" w14:textId="0DA1A511" w:rsidR="0054486B" w:rsidRPr="0054486B" w:rsidRDefault="00B3382A" w:rsidP="00B3382A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Дати дозвіл </w:t>
      </w:r>
      <w:r w:rsidR="0054486B" w:rsidRPr="0054486B">
        <w:rPr>
          <w:rFonts w:ascii="Century" w:hAnsi="Century"/>
          <w:lang w:val="uk-UA"/>
        </w:rPr>
        <w:t>НЕК «УКРЕНЕРГО»</w:t>
      </w:r>
      <w:r w:rsidRPr="0054486B">
        <w:rPr>
          <w:rFonts w:ascii="Century" w:hAnsi="Century"/>
          <w:lang w:val="uk-UA"/>
        </w:rPr>
        <w:t xml:space="preserve"> на розробку проекту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постійне користування земельних</w:t>
      </w:r>
      <w:r w:rsidRPr="0054486B">
        <w:rPr>
          <w:rFonts w:ascii="Century" w:hAnsi="Century"/>
          <w:lang w:val="uk-UA"/>
        </w:rPr>
        <w:t xml:space="preserve"> ділян</w:t>
      </w:r>
      <w:r w:rsidR="0054486B" w:rsidRPr="0054486B">
        <w:rPr>
          <w:rFonts w:ascii="Century" w:hAnsi="Century"/>
          <w:lang w:val="uk-UA"/>
        </w:rPr>
        <w:t>ок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області, а саме:</w:t>
      </w:r>
    </w:p>
    <w:p w14:paraId="1E16E390" w14:textId="422F823F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</w:t>
      </w:r>
      <w:r w:rsidR="0054486B"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6F24D87C" w14:textId="183ED9D5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</w:t>
      </w:r>
      <w:r w:rsidR="0054486B"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739210B1" w14:textId="4A871EB4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</w:t>
      </w:r>
      <w:r w:rsidR="0054486B"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45975C0C" w14:textId="04F608D5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0,0092</w:t>
      </w:r>
      <w:r w:rsidR="0054486B"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5AB31B0A" w14:textId="7758B691" w:rsidR="0054486B" w:rsidRPr="0038550E" w:rsidRDefault="0054486B" w:rsidP="0054486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</w:t>
      </w:r>
      <w:r w:rsidR="00666B2D">
        <w:rPr>
          <w:rFonts w:ascii="Century" w:hAnsi="Century"/>
          <w:lang w:val="uk-UA"/>
        </w:rPr>
        <w:t>площею 0,0024</w:t>
      </w:r>
      <w:r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6C74D5DD" w14:textId="707E3954" w:rsidR="00666B2D" w:rsidRDefault="00666B2D" w:rsidP="00666B2D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0,0183</w:t>
      </w:r>
      <w:r w:rsidR="0054486B" w:rsidRPr="0038550E">
        <w:rPr>
          <w:rFonts w:ascii="Century" w:hAnsi="Century"/>
          <w:lang w:val="uk-UA"/>
        </w:rPr>
        <w:t xml:space="preserve"> га, на території Мшанського старостинського округу;</w:t>
      </w:r>
    </w:p>
    <w:p w14:paraId="6B1A6685" w14:textId="4AE72D96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0,0131</w:t>
      </w:r>
      <w:r w:rsidR="0054486B" w:rsidRPr="0038550E">
        <w:rPr>
          <w:rFonts w:ascii="Century" w:hAnsi="Century"/>
          <w:lang w:val="uk-UA"/>
        </w:rPr>
        <w:t xml:space="preserve"> га, на території Бартатівського старостинського округу;</w:t>
      </w:r>
    </w:p>
    <w:p w14:paraId="71763E1B" w14:textId="6302670A" w:rsidR="00666B2D" w:rsidRDefault="00666B2D" w:rsidP="00666B2D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0,0132</w:t>
      </w:r>
      <w:r w:rsidR="0054486B" w:rsidRPr="0038550E">
        <w:rPr>
          <w:rFonts w:ascii="Century" w:hAnsi="Century"/>
          <w:lang w:val="uk-UA"/>
        </w:rPr>
        <w:t xml:space="preserve"> га, на території Бартатівського старостинського округу;</w:t>
      </w:r>
    </w:p>
    <w:p w14:paraId="3D23E4BC" w14:textId="49A073AA" w:rsidR="0054486B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</w:t>
      </w:r>
      <w:r w:rsidR="0054486B" w:rsidRPr="0038550E">
        <w:rPr>
          <w:rFonts w:ascii="Century" w:hAnsi="Century"/>
          <w:lang w:val="uk-UA"/>
        </w:rPr>
        <w:t xml:space="preserve"> га, на території Керницького старостинського округу;</w:t>
      </w:r>
    </w:p>
    <w:p w14:paraId="250AE740" w14:textId="1EB088D1" w:rsidR="0054486B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</w:t>
      </w:r>
      <w:r w:rsidR="0054486B" w:rsidRPr="0038550E">
        <w:rPr>
          <w:rFonts w:ascii="Century" w:hAnsi="Century"/>
          <w:lang w:val="uk-UA"/>
        </w:rPr>
        <w:t xml:space="preserve"> га, на території Кер</w:t>
      </w:r>
      <w:r>
        <w:rPr>
          <w:rFonts w:ascii="Century" w:hAnsi="Century"/>
          <w:lang w:val="uk-UA"/>
        </w:rPr>
        <w:t>ницького старостинського округу;</w:t>
      </w:r>
    </w:p>
    <w:p w14:paraId="67C0FB40" w14:textId="2B5F88C0" w:rsidR="00666B2D" w:rsidRPr="0038550E" w:rsidRDefault="00666B2D" w:rsidP="00666B2D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</w:t>
      </w:r>
      <w:r w:rsidRPr="0038550E">
        <w:rPr>
          <w:rFonts w:ascii="Century" w:hAnsi="Century"/>
          <w:lang w:val="uk-UA"/>
        </w:rPr>
        <w:t xml:space="preserve"> га, на території Бартатівського старостинського округу;</w:t>
      </w:r>
    </w:p>
    <w:p w14:paraId="23F79EA9" w14:textId="0DD48867" w:rsidR="00666B2D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</w:t>
      </w:r>
      <w:r w:rsidRPr="0038550E">
        <w:rPr>
          <w:rFonts w:ascii="Century" w:hAnsi="Century"/>
          <w:lang w:val="uk-UA"/>
        </w:rPr>
        <w:t xml:space="preserve"> га, на території Кер</w:t>
      </w:r>
      <w:r>
        <w:rPr>
          <w:rFonts w:ascii="Century" w:hAnsi="Century"/>
          <w:lang w:val="uk-UA"/>
        </w:rPr>
        <w:t>ницького старостинського округу;</w:t>
      </w:r>
    </w:p>
    <w:p w14:paraId="67E2D3B4" w14:textId="1807E35D" w:rsidR="00666B2D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</w:t>
      </w:r>
      <w:r w:rsidRPr="0038550E">
        <w:rPr>
          <w:rFonts w:ascii="Century" w:hAnsi="Century"/>
          <w:lang w:val="uk-UA"/>
        </w:rPr>
        <w:t xml:space="preserve"> га, на території Кер</w:t>
      </w:r>
      <w:r>
        <w:rPr>
          <w:rFonts w:ascii="Century" w:hAnsi="Century"/>
          <w:lang w:val="uk-UA"/>
        </w:rPr>
        <w:t>ницького старостинського округу;</w:t>
      </w:r>
    </w:p>
    <w:p w14:paraId="568FD1AA" w14:textId="3C7AE80A" w:rsidR="00666B2D" w:rsidRPr="0038550E" w:rsidRDefault="00666B2D" w:rsidP="0054486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</w:t>
      </w:r>
      <w:r w:rsidRPr="0038550E">
        <w:rPr>
          <w:rFonts w:ascii="Century" w:hAnsi="Century"/>
          <w:lang w:val="uk-UA"/>
        </w:rPr>
        <w:t xml:space="preserve"> га, на території Кер</w:t>
      </w:r>
      <w:r w:rsidR="00816608">
        <w:rPr>
          <w:rFonts w:ascii="Century" w:hAnsi="Century"/>
          <w:lang w:val="uk-UA"/>
        </w:rPr>
        <w:t>ницького старостинського округу.</w:t>
      </w:r>
    </w:p>
    <w:p w14:paraId="7DF446D4" w14:textId="072BFC56" w:rsidR="0054486B" w:rsidRPr="0038550E" w:rsidRDefault="0054486B" w:rsidP="0054486B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lastRenderedPageBreak/>
        <w:t xml:space="preserve">2. </w:t>
      </w:r>
      <w:r w:rsidRPr="0038550E">
        <w:rPr>
          <w:rFonts w:ascii="Century" w:hAnsi="Century"/>
          <w:color w:val="000000"/>
          <w:lang w:val="uk-UA"/>
        </w:rPr>
        <w:t>НЕК «УКРЕНЕРГО»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>для передачі в постійне користування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4F418BCF" w:rsidR="0054486B" w:rsidRPr="0038550E" w:rsidRDefault="0054486B" w:rsidP="0054486B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77777777" w:rsidR="0054486B" w:rsidRPr="0038550E" w:rsidRDefault="0054486B" w:rsidP="0054486B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230C1F"/>
    <w:rsid w:val="00404BAB"/>
    <w:rsid w:val="00524245"/>
    <w:rsid w:val="0054486B"/>
    <w:rsid w:val="005F1FF5"/>
    <w:rsid w:val="006619AB"/>
    <w:rsid w:val="00666B2D"/>
    <w:rsid w:val="00816608"/>
    <w:rsid w:val="00B3382A"/>
    <w:rsid w:val="00DD53EA"/>
    <w:rsid w:val="00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2082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2023-11-10T08:25:00Z</dcterms:created>
  <dcterms:modified xsi:type="dcterms:W3CDTF">2023-11-17T08:35:00Z</dcterms:modified>
</cp:coreProperties>
</file>